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39E43">
      <w:pPr>
        <w:widowControl/>
        <w:shd w:val="clear" w:color="auto" w:fill="FFFFFF"/>
        <w:spacing w:after="156" w:afterLines="50" w:line="560" w:lineRule="exact"/>
        <w:jc w:val="center"/>
        <w:rPr>
          <w:rFonts w:ascii="Times New Roman" w:hAnsi="Times New Roman" w:eastAsia="方正小标宋_GBK" w:cs="Times New Roman"/>
          <w:bCs/>
          <w:color w:val="000000"/>
          <w:w w:val="90"/>
          <w:kern w:val="0"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color w:val="000000"/>
          <w:w w:val="90"/>
          <w:kern w:val="0"/>
          <w:sz w:val="44"/>
          <w:szCs w:val="44"/>
        </w:rPr>
        <w:t>《</w:t>
      </w:r>
      <w:r>
        <w:rPr>
          <w:rFonts w:hint="eastAsia" w:ascii="Times New Roman" w:hAnsi="Times New Roman" w:eastAsia="方正小标宋_GBK" w:cs="Times New Roman"/>
          <w:bCs/>
          <w:color w:val="000000"/>
          <w:w w:val="90"/>
          <w:kern w:val="0"/>
          <w:sz w:val="44"/>
          <w:szCs w:val="44"/>
        </w:rPr>
        <w:t>江苏省数字政府政务中台接入规范</w:t>
      </w:r>
      <w:r>
        <w:rPr>
          <w:rFonts w:ascii="Times New Roman" w:hAnsi="Times New Roman" w:eastAsia="方正小标宋_GBK" w:cs="Times New Roman"/>
          <w:bCs/>
          <w:color w:val="000000"/>
          <w:w w:val="90"/>
          <w:kern w:val="0"/>
          <w:sz w:val="44"/>
          <w:szCs w:val="44"/>
        </w:rPr>
        <w:t>》编制说明</w:t>
      </w:r>
    </w:p>
    <w:p w14:paraId="24C45CCD">
      <w:pPr>
        <w:widowControl/>
        <w:shd w:val="clear" w:color="auto" w:fill="FFFFFF"/>
        <w:spacing w:line="587" w:lineRule="exact"/>
        <w:ind w:firstLine="640" w:firstLineChars="200"/>
        <w:jc w:val="left"/>
        <w:outlineLvl w:val="0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  <w:t>一、目的意义</w:t>
      </w:r>
    </w:p>
    <w:p w14:paraId="278606C1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政务中台建设是将数字技术广泛应用于政府管理服务、提升数字政府集约化建设水平的重要举措。通过对政务业务颗粒化、流程可视化、表单规则化快速实现用户需求，对共享数据按需组织和标签化处理，有效提供技术组件和应用服务，政务中台将全面提升江苏省数字政府集约化建设水平，为推进江苏省治理体系和治理能力现代化提供有力支撑。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能进一步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落实国家治理体系和治理能力现代化建设要求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助力政务服务长三角一体化发展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巩固和扩大我省数字政府建设优势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推动政府履职更加协同高效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提升公共服务数字化、智能化水平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规范标准，降低成本，节约政府资源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。</w:t>
      </w:r>
    </w:p>
    <w:p w14:paraId="0159584D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snapToGrid w:val="0"/>
          <w:kern w:val="0"/>
          <w:sz w:val="32"/>
          <w:szCs w:val="20"/>
        </w:rPr>
        <w:t>为进一步保障江苏省数字政府政务中台高效使用，统一接口要求和数据对接的标准规范，实现省、市、区县间及各级业务单位平台间顺利对接，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保证</w:t>
      </w:r>
      <w:r>
        <w:rPr>
          <w:rFonts w:hint="eastAsia" w:ascii="Times New Roman" w:hAnsi="Times New Roman" w:eastAsia="方正仿宋_GBK"/>
          <w:snapToGrid w:val="0"/>
          <w:kern w:val="0"/>
          <w:sz w:val="32"/>
          <w:szCs w:val="20"/>
        </w:rPr>
        <w:t>政务中台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安全稳定运行，研究制定本标准。</w:t>
      </w:r>
    </w:p>
    <w:p w14:paraId="4CB5ECFA">
      <w:pPr>
        <w:widowControl/>
        <w:shd w:val="clear" w:color="auto" w:fill="FFFFFF"/>
        <w:spacing w:line="587" w:lineRule="exact"/>
        <w:ind w:firstLine="640" w:firstLineChars="200"/>
        <w:jc w:val="left"/>
        <w:outlineLvl w:val="0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  <w:t>二、任务来源</w:t>
      </w:r>
    </w:p>
    <w:p w14:paraId="7FD16999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snapToGrid w:val="0"/>
          <w:kern w:val="0"/>
          <w:sz w:val="32"/>
          <w:szCs w:val="20"/>
        </w:rPr>
        <w:t>按照《省政府关于加快统筹推进数字政府高质量建设的实施意见》（苏政发〔2022〕44号）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等要求，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在研究国家和省级相关规范文献以及江苏省现状的基础上，制定出《江苏省数字政府政务中台接入规范》，从而进一步提升江苏省业务整合、数据共享交换、数据开放等能力，推进江苏省数字政府建设。</w:t>
      </w:r>
    </w:p>
    <w:p w14:paraId="2F801208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本标准研制是落实国家有关部门、省委省政府政策要求，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由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江苏省数据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局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提出，经江苏省市场监督管理局批准，于2023年立项，项目名称为《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江苏省数字政府政务中台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接入规范》。本标准的起草单位为江苏省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数据局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。</w:t>
      </w:r>
    </w:p>
    <w:p w14:paraId="3297643A">
      <w:pPr>
        <w:widowControl/>
        <w:shd w:val="clear" w:color="auto" w:fill="FFFFFF"/>
        <w:spacing w:line="587" w:lineRule="exact"/>
        <w:ind w:firstLine="640" w:firstLineChars="200"/>
        <w:jc w:val="left"/>
        <w:outlineLvl w:val="0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  <w:t>三、编制过程</w:t>
      </w:r>
    </w:p>
    <w:p w14:paraId="7AA96BE5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本标准主要编制过程如下：</w:t>
      </w:r>
    </w:p>
    <w:p w14:paraId="1DA59D76">
      <w:pPr>
        <w:widowControl/>
        <w:shd w:val="clear" w:color="auto" w:fill="FFFFFF"/>
        <w:spacing w:line="587" w:lineRule="exact"/>
        <w:ind w:firstLine="643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  <w:t>（1）成立标准编制工作组</w:t>
      </w:r>
    </w:p>
    <w:p w14:paraId="46CDFC68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立项以来，省数据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局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组织成立标准编制工作组，统筹本标准研讨、调研、编制等事项。组建标准编制团队，明确编制目标和范围，进行论证调研工作等。</w:t>
      </w:r>
    </w:p>
    <w:p w14:paraId="2D3A77C9">
      <w:pPr>
        <w:widowControl/>
        <w:shd w:val="clear" w:color="auto" w:fill="FFFFFF"/>
        <w:spacing w:line="587" w:lineRule="exact"/>
        <w:ind w:firstLine="643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  <w:t>（2）调查研究阶段</w:t>
      </w:r>
    </w:p>
    <w:p w14:paraId="1DA9EDE5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2024年1月至5月，标准编制工作组根据江苏省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政务中台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实际情况和平台对接建设需求，参照国家标准、行业标准，结合相关资料及调研结果，经过多次研讨、修订，形成征求意见稿。</w:t>
      </w:r>
    </w:p>
    <w:p w14:paraId="41355818">
      <w:pPr>
        <w:widowControl/>
        <w:shd w:val="clear" w:color="auto" w:fill="FFFFFF"/>
        <w:spacing w:line="587" w:lineRule="exact"/>
        <w:ind w:firstLine="643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  <w:t>（3）征求意见阶段</w:t>
      </w:r>
    </w:p>
    <w:p w14:paraId="5097D137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2024年6月，向</w:t>
      </w:r>
      <w:r>
        <w:rPr>
          <w:rFonts w:hint="eastAsia" w:ascii="Times New Roman" w:hAnsi="Times New Roman" w:eastAsia="方正仿宋_GBK"/>
          <w:snapToGrid w:val="0"/>
          <w:kern w:val="0"/>
          <w:sz w:val="32"/>
          <w:szCs w:val="20"/>
        </w:rPr>
        <w:t>省各有关部门、各设区市数据局、大数据局（中心）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发放征求意见稿并征求意见，共征求意见16条，采纳 条，基本采纳 4条，不采纳12条。</w:t>
      </w:r>
    </w:p>
    <w:p w14:paraId="310F3A52">
      <w:pPr>
        <w:widowControl/>
        <w:shd w:val="clear" w:color="auto" w:fill="FFFFFF"/>
        <w:spacing w:line="587" w:lineRule="exact"/>
        <w:ind w:firstLine="643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  <w:t>（4）形成标准送审稿</w:t>
      </w:r>
    </w:p>
    <w:p w14:paraId="74C624F3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2024年7月，汇总，梳理设区市反馈意见，根据意见对标准征求意见稿进行完善，形成了本标准送审讨论稿。</w:t>
      </w:r>
    </w:p>
    <w:p w14:paraId="6A59FCB0">
      <w:pPr>
        <w:widowControl/>
        <w:shd w:val="clear" w:color="auto" w:fill="FFFFFF"/>
        <w:spacing w:line="587" w:lineRule="exact"/>
        <w:ind w:firstLine="640" w:firstLineChars="200"/>
        <w:jc w:val="left"/>
        <w:outlineLvl w:val="0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  <w:t>四、主要内容技术指标确立</w:t>
      </w:r>
    </w:p>
    <w:p w14:paraId="46C03029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依据GB/T 35295-2017、GB/T 33482-2016等相关国家标准和规范的要求，并深入研究各类接入规范编制理论和方法，结合我省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政务中台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特点和实际情况，编制形成接入规范。</w:t>
      </w:r>
    </w:p>
    <w:p w14:paraId="3143ABFC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规范主要从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业务中台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数据中台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技术中台对接规范和安全管理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等方面对江苏省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数字政府政务中台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对接进行了规范和指引。</w:t>
      </w:r>
    </w:p>
    <w:p w14:paraId="752B9A74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规范共分1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章：</w:t>
      </w:r>
      <w:bookmarkStart w:id="0" w:name="_GoBack"/>
      <w:bookmarkEnd w:id="0"/>
    </w:p>
    <w:p w14:paraId="3E6DCC3E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第1至4章，介绍标准适用范围、规范性引用文件、基本术语及定义、缩略语。</w:t>
      </w:r>
    </w:p>
    <w:p w14:paraId="14A5E55F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第5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至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章，介绍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政务中台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接入框架和接入关系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。</w:t>
      </w:r>
    </w:p>
    <w:p w14:paraId="395CA2BF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第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至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章，介绍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业务中台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数据中台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技术中台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接入要求和接口要求。</w:t>
      </w:r>
    </w:p>
    <w:p w14:paraId="29A00A50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第1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章，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介绍了安全管理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内容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。</w:t>
      </w:r>
    </w:p>
    <w:p w14:paraId="43C64366">
      <w:pPr>
        <w:widowControl/>
        <w:shd w:val="clear" w:color="auto" w:fill="FFFFFF"/>
        <w:spacing w:line="587" w:lineRule="exact"/>
        <w:ind w:firstLine="640" w:firstLineChars="200"/>
        <w:jc w:val="left"/>
        <w:outlineLvl w:val="0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  <w:t>五、与相关法律法规和国家标准的关系</w:t>
      </w:r>
    </w:p>
    <w:p w14:paraId="26A4A61D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截至目前，尚未发现本部分与我国有关的现行法律、法规和相关强制性标准相冲突。</w:t>
      </w:r>
    </w:p>
    <w:p w14:paraId="23EBA6B8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本标准不涉及相关知识产权。</w:t>
      </w:r>
    </w:p>
    <w:p w14:paraId="41763FA6">
      <w:pPr>
        <w:widowControl/>
        <w:shd w:val="clear" w:color="auto" w:fill="FFFFFF"/>
        <w:spacing w:line="587" w:lineRule="exact"/>
        <w:ind w:firstLine="640" w:firstLineChars="200"/>
        <w:jc w:val="left"/>
        <w:outlineLvl w:val="0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  <w:t>六、实施推广建议</w:t>
      </w:r>
    </w:p>
    <w:p w14:paraId="60E2FCD6">
      <w:pPr>
        <w:widowControl/>
        <w:shd w:val="clear" w:color="auto" w:fill="FFFFFF"/>
        <w:spacing w:line="587" w:lineRule="exact"/>
        <w:ind w:firstLine="643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  <w:t>（1）加强标准宣贯</w:t>
      </w:r>
    </w:p>
    <w:p w14:paraId="3CF5250E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为促进本标准在全省范围内发挥作用，要提高全省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相关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机构及工作人员标准化意识，采取宣讲培训、交流学习、应用探讨等多方式、多渠道、多形式对各设区市管理机构进行标准内容的宣贯培训，鼓励各设区市积极参与标准实施、推广和监督工作，使其熟知标准的内容。同时建立详细的标准宣贯记录，切实把标准的宣贯落到实处。</w:t>
      </w:r>
    </w:p>
    <w:p w14:paraId="1553025A">
      <w:pPr>
        <w:widowControl/>
        <w:shd w:val="clear" w:color="auto" w:fill="FFFFFF"/>
        <w:spacing w:line="587" w:lineRule="exact"/>
        <w:ind w:firstLine="643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  <w:t>（2）发挥指引作用</w:t>
      </w:r>
    </w:p>
    <w:p w14:paraId="1A386477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本标准主要用于指导</w:t>
      </w:r>
      <w:r>
        <w:rPr>
          <w:rFonts w:hint="eastAsia" w:ascii="Times New Roman" w:eastAsia="方正仿宋_GBK"/>
          <w:snapToGrid w:val="0"/>
          <w:kern w:val="0"/>
          <w:sz w:val="32"/>
          <w:szCs w:val="20"/>
        </w:rPr>
        <w:t>各设区市和省级部门接入政务中台能力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对接工作，从数据类型、接口要求等角度对平台接入数据约定一致性规范。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相关部门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在提升本标准认识的基础上，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开展数据共享对接，将各类政务运行数据通过汇聚或接口的形式进行组织，集约政府信息化建设资源、提升数据资产运营效益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。</w:t>
      </w:r>
    </w:p>
    <w:p w14:paraId="5C323D9D">
      <w:pPr>
        <w:widowControl/>
        <w:shd w:val="clear" w:color="auto" w:fill="FFFFFF"/>
        <w:spacing w:line="587" w:lineRule="exact"/>
        <w:ind w:firstLine="643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</w:rPr>
        <w:t>（3）强化评估考核</w:t>
      </w:r>
    </w:p>
    <w:p w14:paraId="5C9A0275">
      <w:pPr>
        <w:widowControl/>
        <w:shd w:val="clear" w:color="auto" w:fill="FFFFFF"/>
        <w:spacing w:line="587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建立科学的标准化工作评估体系，督促</w:t>
      </w:r>
      <w:r>
        <w:rPr>
          <w:rFonts w:hint="eastAsia" w:ascii="Times New Roman" w:eastAsia="方正仿宋_GBK"/>
          <w:snapToGrid w:val="0"/>
          <w:kern w:val="0"/>
          <w:sz w:val="32"/>
          <w:szCs w:val="20"/>
        </w:rPr>
        <w:t>各设区市和省级部门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落实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</w:rPr>
        <w:t>政务中台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</w:rPr>
        <w:t>接入标准化，对平台对接工作实施动态评估，形成评估报告并及时反馈、跟踪，并建立定期通报制度，形成标准实施工作闭环，确保达到本标准实施目标。</w:t>
      </w:r>
    </w:p>
    <w:sectPr>
      <w:pgSz w:w="11907" w:h="16839"/>
      <w:pgMar w:top="1440" w:right="1797" w:bottom="1440" w:left="1797" w:header="1134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2ZjQ0ZjJkMDg4N2JmZTgzZjYwNDBjZDhmMTYyMzgifQ=="/>
  </w:docVars>
  <w:rsids>
    <w:rsidRoot w:val="005E0EBA"/>
    <w:rsid w:val="00030251"/>
    <w:rsid w:val="00094BC2"/>
    <w:rsid w:val="000A2D33"/>
    <w:rsid w:val="000E3766"/>
    <w:rsid w:val="001F2DE3"/>
    <w:rsid w:val="00231B2B"/>
    <w:rsid w:val="002A0D66"/>
    <w:rsid w:val="002C0428"/>
    <w:rsid w:val="002D3DB2"/>
    <w:rsid w:val="002D5158"/>
    <w:rsid w:val="002E0D2C"/>
    <w:rsid w:val="00342E43"/>
    <w:rsid w:val="003A0034"/>
    <w:rsid w:val="00411596"/>
    <w:rsid w:val="00564F14"/>
    <w:rsid w:val="00592C30"/>
    <w:rsid w:val="005E0EBA"/>
    <w:rsid w:val="005E266B"/>
    <w:rsid w:val="005E2E3F"/>
    <w:rsid w:val="005E696F"/>
    <w:rsid w:val="00681FB7"/>
    <w:rsid w:val="007446BC"/>
    <w:rsid w:val="007A52BC"/>
    <w:rsid w:val="008A7EF9"/>
    <w:rsid w:val="008D0220"/>
    <w:rsid w:val="008D1C6F"/>
    <w:rsid w:val="00910F14"/>
    <w:rsid w:val="00941300"/>
    <w:rsid w:val="00A05811"/>
    <w:rsid w:val="00A16E96"/>
    <w:rsid w:val="00A1751B"/>
    <w:rsid w:val="00A52E08"/>
    <w:rsid w:val="00A7567A"/>
    <w:rsid w:val="00B94600"/>
    <w:rsid w:val="00BA397C"/>
    <w:rsid w:val="00BB6FF7"/>
    <w:rsid w:val="00C01630"/>
    <w:rsid w:val="00C574A2"/>
    <w:rsid w:val="00CA3142"/>
    <w:rsid w:val="00CB6C7D"/>
    <w:rsid w:val="00CF69B1"/>
    <w:rsid w:val="00D81EEC"/>
    <w:rsid w:val="00DB1B44"/>
    <w:rsid w:val="00DE77AE"/>
    <w:rsid w:val="00E23FBC"/>
    <w:rsid w:val="00E84AC4"/>
    <w:rsid w:val="00EA0534"/>
    <w:rsid w:val="00EE4368"/>
    <w:rsid w:val="00F268A6"/>
    <w:rsid w:val="00F62ADD"/>
    <w:rsid w:val="00FA2D2D"/>
    <w:rsid w:val="590D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段 Char"/>
    <w:link w:val="10"/>
    <w:qFormat/>
    <w:locked/>
    <w:uiPriority w:val="0"/>
    <w:rPr>
      <w:rFonts w:ascii="宋体"/>
      <w:szCs w:val="21"/>
    </w:rPr>
  </w:style>
  <w:style w:type="paragraph" w:customStyle="1" w:styleId="10">
    <w:name w:val="段"/>
    <w:link w:val="9"/>
    <w:qFormat/>
    <w:uiPriority w:val="0"/>
    <w:pPr>
      <w:autoSpaceDE w:val="0"/>
      <w:autoSpaceDN w:val="0"/>
      <w:ind w:firstLine="200" w:firstLineChars="200"/>
      <w:jc w:val="both"/>
    </w:pPr>
    <w:rPr>
      <w:rFonts w:ascii="宋体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1679</Words>
  <Characters>1724</Characters>
  <Lines>12</Lines>
  <Paragraphs>3</Paragraphs>
  <TotalTime>422</TotalTime>
  <ScaleCrop>false</ScaleCrop>
  <LinksUpToDate>false</LinksUpToDate>
  <CharactersWithSpaces>1729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2024-07-10T01:34:00Z</dcterms:created>
  <dc:creator>admin</dc:creator>
  <cp:lastModifiedBy>beibei</cp:lastModifiedBy>
  <dcterms:modified xsi:type="dcterms:W3CDTF">2024-10-12T06:53:06Z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B29DEA52BF764EA39337C0295CA8F3B4_12</vt:lpwstr>
  </property>
</Properties>
</file>